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56"/>
        <w:tblW w:w="13855" w:type="dxa"/>
        <w:tblLook w:val="04A0" w:firstRow="1" w:lastRow="0" w:firstColumn="1" w:lastColumn="0" w:noHBand="0" w:noVBand="1"/>
      </w:tblPr>
      <w:tblGrid>
        <w:gridCol w:w="2771"/>
        <w:gridCol w:w="2771"/>
        <w:gridCol w:w="2771"/>
        <w:gridCol w:w="2771"/>
        <w:gridCol w:w="2771"/>
      </w:tblGrid>
      <w:tr w:rsidR="003E243A" w:rsidRPr="00BB733F" w:rsidTr="00D94F2D">
        <w:trPr>
          <w:trHeight w:val="456"/>
        </w:trPr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Monday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Tuesday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Wednesday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Thursday</w:t>
            </w:r>
          </w:p>
        </w:tc>
        <w:tc>
          <w:tcPr>
            <w:tcW w:w="27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2060"/>
            <w:vAlign w:val="center"/>
          </w:tcPr>
          <w:p w:rsidR="00BB733F" w:rsidRPr="003401C4" w:rsidRDefault="00BB733F" w:rsidP="00D94F2D">
            <w:pPr>
              <w:jc w:val="center"/>
              <w:rPr>
                <w:rFonts w:ascii="Britannic Bold" w:hAnsi="Britannic Bold"/>
                <w:color w:val="FFFFFF" w:themeColor="background1"/>
                <w:sz w:val="28"/>
              </w:rPr>
            </w:pPr>
            <w:r w:rsidRPr="003401C4">
              <w:rPr>
                <w:rFonts w:ascii="Britannic Bold" w:hAnsi="Britannic Bold"/>
                <w:color w:val="FFFFFF" w:themeColor="background1"/>
                <w:sz w:val="28"/>
              </w:rPr>
              <w:t>Friday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D94F2D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D94F2D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  <w:r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Phonics EYFs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</w:p>
          <w:p w:rsidR="00CF0F08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 xml:space="preserve">Phonics year 1 </w:t>
            </w:r>
          </w:p>
          <w:p w:rsidR="00BB733F" w:rsidRPr="00BB733F" w:rsidRDefault="00CF0F08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Click-see below resources</w:t>
            </w:r>
          </w:p>
        </w:tc>
      </w:tr>
      <w:tr w:rsidR="00D94F2D" w:rsidRPr="00BB733F" w:rsidTr="00D94F2D">
        <w:trPr>
          <w:trHeight w:val="499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>glish/</w:t>
            </w:r>
            <w:r w:rsidR="006B6CF9">
              <w:rPr>
                <w:rFonts w:ascii="Bradley Hand ITC" w:hAnsi="Bradley Hand ITC"/>
                <w:sz w:val="24"/>
                <w:szCs w:val="24"/>
              </w:rPr>
              <w:t>History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click-see below resources </w:t>
            </w: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907CC6" w:rsidP="00D94F2D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 w:rsidR="00CF0F08"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</w:t>
            </w:r>
            <w:r w:rsidR="006B6CF9">
              <w:rPr>
                <w:rFonts w:ascii="Bradley Hand ITC" w:hAnsi="Bradley Hand ITC"/>
                <w:sz w:val="24"/>
                <w:szCs w:val="24"/>
              </w:rPr>
              <w:t xml:space="preserve">History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6B6CF9" w:rsidRPr="00907CC6" w:rsidRDefault="006B6CF9" w:rsidP="006B6CF9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>Year 1 En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glish/ History click-see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Year 1 </w:t>
            </w:r>
            <w:r w:rsidR="006B6CF9">
              <w:rPr>
                <w:rFonts w:ascii="Bradley Hand ITC" w:hAnsi="Bradley Hand ITC"/>
                <w:sz w:val="24"/>
                <w:szCs w:val="24"/>
              </w:rPr>
              <w:t>Maths – see below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</w:tcPr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Year 1 </w:t>
            </w:r>
            <w:r w:rsidR="006B6CF9">
              <w:rPr>
                <w:rFonts w:ascii="Bradley Hand ITC" w:hAnsi="Bradley Hand ITC"/>
                <w:sz w:val="24"/>
                <w:szCs w:val="24"/>
              </w:rPr>
              <w:t xml:space="preserve">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-see below resources </w:t>
            </w:r>
          </w:p>
          <w:p w:rsidR="00CF0F08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</w:p>
          <w:p w:rsidR="00907CC6" w:rsidRPr="00907CC6" w:rsidRDefault="00CF0F08" w:rsidP="00CF0F08">
            <w:pPr>
              <w:rPr>
                <w:rFonts w:ascii="Bradley Hand ITC" w:hAnsi="Bradley Hand ITC"/>
                <w:sz w:val="24"/>
                <w:szCs w:val="24"/>
              </w:rPr>
            </w:pPr>
            <w:r w:rsidRPr="00907CC6">
              <w:rPr>
                <w:rFonts w:ascii="Bradley Hand ITC" w:hAnsi="Bradley Hand ITC"/>
                <w:sz w:val="24"/>
                <w:szCs w:val="24"/>
              </w:rPr>
              <w:t xml:space="preserve">EYFS maths </w:t>
            </w:r>
            <w:r>
              <w:rPr>
                <w:rFonts w:ascii="Bradley Hand ITC" w:hAnsi="Bradley Hand ITC"/>
                <w:sz w:val="24"/>
                <w:szCs w:val="24"/>
              </w:rPr>
              <w:t xml:space="preserve"> click-see below resources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140970</wp:posOffset>
                  </wp:positionV>
                  <wp:extent cx="335280" cy="346710"/>
                  <wp:effectExtent l="0" t="0" r="762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76739CD" wp14:editId="7E214AFB">
                  <wp:simplePos x="0" y="0"/>
                  <wp:positionH relativeFrom="column">
                    <wp:posOffset>1316355</wp:posOffset>
                  </wp:positionH>
                  <wp:positionV relativeFrom="paragraph">
                    <wp:posOffset>163830</wp:posOffset>
                  </wp:positionV>
                  <wp:extent cx="335280" cy="346710"/>
                  <wp:effectExtent l="0" t="0" r="762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676739CD" wp14:editId="7E214AFB">
                  <wp:simplePos x="0" y="0"/>
                  <wp:positionH relativeFrom="column">
                    <wp:posOffset>1484630</wp:posOffset>
                  </wp:positionH>
                  <wp:positionV relativeFrom="paragraph">
                    <wp:posOffset>245110</wp:posOffset>
                  </wp:positionV>
                  <wp:extent cx="335280" cy="346710"/>
                  <wp:effectExtent l="0" t="0" r="762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76739CD" wp14:editId="7E214AFB">
                  <wp:simplePos x="0" y="0"/>
                  <wp:positionH relativeFrom="column">
                    <wp:posOffset>-263525</wp:posOffset>
                  </wp:positionH>
                  <wp:positionV relativeFrom="paragraph">
                    <wp:posOffset>178435</wp:posOffset>
                  </wp:positionV>
                  <wp:extent cx="335280" cy="346710"/>
                  <wp:effectExtent l="0" t="0" r="762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5F728090" wp14:editId="46BAFC2A">
                  <wp:simplePos x="0" y="0"/>
                  <wp:positionH relativeFrom="column">
                    <wp:posOffset>1328420</wp:posOffset>
                  </wp:positionH>
                  <wp:positionV relativeFrom="paragraph">
                    <wp:posOffset>193675</wp:posOffset>
                  </wp:positionV>
                  <wp:extent cx="335280" cy="346710"/>
                  <wp:effectExtent l="0" t="0" r="762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402-illustration-of-a-red-apple-pv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280" cy="346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Take a break, have a snack!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 w:rsidR="00D94F2D"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 w:rsidR="00D94F2D"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85C3EDF" wp14:editId="65E4CBE6">
                  <wp:extent cx="621665" cy="207010"/>
                  <wp:effectExtent l="0" t="0" r="698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94F2D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94F2D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539F1FF7" wp14:editId="1A9A2478">
                  <wp:extent cx="621665" cy="207010"/>
                  <wp:effectExtent l="0" t="0" r="6985" b="254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 xml:space="preserve"> Reading</w:t>
            </w:r>
            <w:r>
              <w:rPr>
                <w:rFonts w:ascii="Bradley Hand ITC" w:hAnsi="Bradley Hand ITC"/>
                <w:sz w:val="24"/>
              </w:rPr>
              <w:t xml:space="preserve"> or sharing a book  for 15</w:t>
            </w:r>
            <w:r w:rsidRPr="00BB733F">
              <w:rPr>
                <w:rFonts w:ascii="Bradley Hand ITC" w:hAnsi="Bradley Hand ITC"/>
                <w:sz w:val="24"/>
              </w:rPr>
              <w:t xml:space="preserve"> minutes</w:t>
            </w:r>
            <w:r>
              <w:rPr>
                <w:rFonts w:ascii="Bradley Hand ITC" w:hAnsi="Bradley Hand ITC"/>
                <w:noProof/>
                <w:sz w:val="24"/>
                <w:lang w:eastAsia="en-GB"/>
              </w:rPr>
              <w:drawing>
                <wp:inline distT="0" distB="0" distL="0" distR="0" wp14:anchorId="0FBD7445" wp14:editId="722230B6">
                  <wp:extent cx="621665" cy="207010"/>
                  <wp:effectExtent l="0" t="0" r="6985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20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738929</wp:posOffset>
                  </wp:positionH>
                  <wp:positionV relativeFrom="paragraph">
                    <wp:posOffset>165735</wp:posOffset>
                  </wp:positionV>
                  <wp:extent cx="372534" cy="372534"/>
                  <wp:effectExtent l="0" t="0" r="8890" b="8890"/>
                  <wp:wrapNone/>
                  <wp:docPr id="7" name="Picture 7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7E09765" wp14:editId="1E1CBA9C">
                  <wp:simplePos x="0" y="0"/>
                  <wp:positionH relativeFrom="column">
                    <wp:posOffset>771948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8" name="Picture 8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17E09765" wp14:editId="1E1CBA9C">
                  <wp:simplePos x="0" y="0"/>
                  <wp:positionH relativeFrom="column">
                    <wp:posOffset>687282</wp:posOffset>
                  </wp:positionH>
                  <wp:positionV relativeFrom="paragraph">
                    <wp:posOffset>144992</wp:posOffset>
                  </wp:positionV>
                  <wp:extent cx="372534" cy="372534"/>
                  <wp:effectExtent l="0" t="0" r="8890" b="8890"/>
                  <wp:wrapNone/>
                  <wp:docPr id="9" name="Picture 9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17E09765" wp14:editId="1E1CBA9C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161925</wp:posOffset>
                  </wp:positionV>
                  <wp:extent cx="372534" cy="372534"/>
                  <wp:effectExtent l="0" t="0" r="8890" b="8890"/>
                  <wp:wrapNone/>
                  <wp:docPr id="10" name="Picture 10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3401C4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4871502" wp14:editId="1D3DA46D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152823</wp:posOffset>
                  </wp:positionV>
                  <wp:extent cx="372534" cy="372534"/>
                  <wp:effectExtent l="0" t="0" r="8890" b="8890"/>
                  <wp:wrapNone/>
                  <wp:docPr id="11" name="Picture 11" descr="Free Lunch Lady Pictures, Download Free Clip Art, Free Clip Art on Clipart 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Lunch Lady Pictures, Download Free Clip Art, Free Clip Art on Clipart 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534" cy="372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B733F" w:rsidRPr="00BB733F">
              <w:rPr>
                <w:rFonts w:ascii="Bradley Hand ITC" w:hAnsi="Bradley Hand ITC"/>
                <w:sz w:val="24"/>
              </w:rPr>
              <w:t>Lunch time!</w:t>
            </w:r>
          </w:p>
        </w:tc>
      </w:tr>
      <w:tr w:rsidR="00A409D3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D94F2D" w:rsidP="00CF0F08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</w:t>
            </w:r>
            <w:r w:rsidR="00CF0F08">
              <w:rPr>
                <w:rFonts w:ascii="Bradley Hand ITC" w:hAnsi="Bradley Hand ITC"/>
                <w:sz w:val="24"/>
              </w:rPr>
              <w:t>id time. Choose an activity form-see below resources</w:t>
            </w:r>
            <w:r w:rsidR="00CF0F08" w:rsidRPr="00BB733F">
              <w:rPr>
                <w:rFonts w:ascii="Bradley Hand ITC" w:hAnsi="Bradley Hand ITC"/>
                <w:sz w:val="24"/>
              </w:rPr>
              <w:t xml:space="preserve"> 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  <w:tc>
          <w:tcPr>
            <w:tcW w:w="277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E243A" w:rsidRPr="00BB733F" w:rsidRDefault="00CF0F08" w:rsidP="00D94F2D">
            <w:pPr>
              <w:jc w:val="center"/>
              <w:rPr>
                <w:rFonts w:ascii="Bradley Hand ITC" w:hAnsi="Bradley Hand ITC"/>
                <w:sz w:val="24"/>
              </w:rPr>
            </w:pPr>
            <w:r>
              <w:rPr>
                <w:rFonts w:ascii="Bradley Hand ITC" w:hAnsi="Bradley Hand ITC"/>
                <w:sz w:val="24"/>
              </w:rPr>
              <w:t>Project grid time. Choose an activity form-see below resources</w:t>
            </w:r>
          </w:p>
        </w:tc>
      </w:tr>
      <w:tr w:rsidR="003401C4" w:rsidRPr="00BB733F" w:rsidTr="00D94F2D">
        <w:trPr>
          <w:trHeight w:val="694"/>
        </w:trPr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  <w:tc>
          <w:tcPr>
            <w:tcW w:w="27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733F" w:rsidRPr="00BB733F" w:rsidRDefault="00BB733F" w:rsidP="00D94F2D">
            <w:pPr>
              <w:jc w:val="center"/>
              <w:rPr>
                <w:rFonts w:ascii="Bradley Hand ITC" w:hAnsi="Bradley Hand ITC"/>
                <w:sz w:val="24"/>
              </w:rPr>
            </w:pPr>
            <w:r w:rsidRPr="00BB733F">
              <w:rPr>
                <w:rFonts w:ascii="Bradley Hand ITC" w:hAnsi="Bradley Hand ITC"/>
                <w:sz w:val="24"/>
              </w:rPr>
              <w:t>Now it’s your active hour. Get moving!</w:t>
            </w:r>
          </w:p>
        </w:tc>
      </w:tr>
    </w:tbl>
    <w:p w:rsidR="00D94F2D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>W</w:t>
      </w:r>
      <w:r w:rsidR="00BB733F" w:rsidRPr="00BB733F">
        <w:rPr>
          <w:rFonts w:ascii="Bradley Hand ITC" w:hAnsi="Bradley Hand ITC"/>
          <w:sz w:val="52"/>
          <w:u w:val="single"/>
        </w:rPr>
        <w:t>eekly home learning timetable</w:t>
      </w:r>
      <w:r>
        <w:rPr>
          <w:rFonts w:ascii="Bradley Hand ITC" w:hAnsi="Bradley Hand ITC"/>
          <w:sz w:val="52"/>
          <w:u w:val="single"/>
        </w:rPr>
        <w:t xml:space="preserve"> EYFS and Year 1 </w:t>
      </w:r>
    </w:p>
    <w:p w:rsidR="008B212E" w:rsidRDefault="00D94F2D" w:rsidP="00BB733F">
      <w:pPr>
        <w:jc w:val="center"/>
        <w:rPr>
          <w:rFonts w:ascii="Bradley Hand ITC" w:hAnsi="Bradley Hand ITC"/>
          <w:sz w:val="52"/>
          <w:u w:val="single"/>
        </w:rPr>
      </w:pPr>
      <w:r>
        <w:rPr>
          <w:rFonts w:ascii="Bradley Hand ITC" w:hAnsi="Bradley Hand ITC"/>
          <w:sz w:val="52"/>
          <w:u w:val="single"/>
        </w:rPr>
        <w:t xml:space="preserve">Week beg: </w:t>
      </w:r>
      <w:r w:rsidR="00462373">
        <w:rPr>
          <w:rFonts w:ascii="Bradley Hand ITC" w:hAnsi="Bradley Hand ITC"/>
          <w:sz w:val="52"/>
          <w:u w:val="single"/>
        </w:rPr>
        <w:t>23</w:t>
      </w:r>
      <w:r w:rsidR="00462373" w:rsidRPr="00462373">
        <w:rPr>
          <w:rFonts w:ascii="Bradley Hand ITC" w:hAnsi="Bradley Hand ITC"/>
          <w:sz w:val="52"/>
          <w:u w:val="single"/>
          <w:vertAlign w:val="superscript"/>
        </w:rPr>
        <w:t>rd</w:t>
      </w:r>
      <w:r w:rsidR="00462373">
        <w:rPr>
          <w:rFonts w:ascii="Bradley Hand ITC" w:hAnsi="Bradley Hand ITC"/>
          <w:sz w:val="52"/>
          <w:u w:val="single"/>
        </w:rPr>
        <w:t xml:space="preserve"> </w:t>
      </w:r>
      <w:bookmarkStart w:id="0" w:name="_GoBack"/>
      <w:bookmarkEnd w:id="0"/>
      <w:r w:rsidR="00442DB9">
        <w:rPr>
          <w:rFonts w:ascii="Bradley Hand ITC" w:hAnsi="Bradley Hand ITC"/>
          <w:sz w:val="52"/>
          <w:u w:val="single"/>
        </w:rPr>
        <w:t>November 2020</w:t>
      </w:r>
    </w:p>
    <w:p w:rsidR="00D94F2D" w:rsidRPr="00BB733F" w:rsidRDefault="00D94F2D" w:rsidP="00D94F2D">
      <w:pPr>
        <w:rPr>
          <w:rFonts w:ascii="Bradley Hand ITC" w:hAnsi="Bradley Hand ITC"/>
          <w:sz w:val="52"/>
          <w:u w:val="single"/>
        </w:rPr>
      </w:pPr>
    </w:p>
    <w:sectPr w:rsidR="00D94F2D" w:rsidRPr="00BB733F" w:rsidSect="00BB733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33F"/>
    <w:rsid w:val="0006542F"/>
    <w:rsid w:val="003401C4"/>
    <w:rsid w:val="003E243A"/>
    <w:rsid w:val="00442DB9"/>
    <w:rsid w:val="00462373"/>
    <w:rsid w:val="006B6CF9"/>
    <w:rsid w:val="00907CC6"/>
    <w:rsid w:val="009A65B1"/>
    <w:rsid w:val="00A409D3"/>
    <w:rsid w:val="00AB438F"/>
    <w:rsid w:val="00BB733F"/>
    <w:rsid w:val="00CF0F08"/>
    <w:rsid w:val="00D94F2D"/>
    <w:rsid w:val="00EC5EE7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6D8E9"/>
  <w15:chartTrackingRefBased/>
  <w15:docId w15:val="{88C6FB7E-6124-4659-AA01-94ED3016E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B73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4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Alice</dc:creator>
  <cp:keywords/>
  <dc:description/>
  <cp:lastModifiedBy>Administrator</cp:lastModifiedBy>
  <cp:revision>2</cp:revision>
  <cp:lastPrinted>2020-09-15T16:52:00Z</cp:lastPrinted>
  <dcterms:created xsi:type="dcterms:W3CDTF">2020-11-17T19:08:00Z</dcterms:created>
  <dcterms:modified xsi:type="dcterms:W3CDTF">2020-11-17T19:08:00Z</dcterms:modified>
</cp:coreProperties>
</file>